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253"/>
        <w:gridCol w:w="7493"/>
        <w:gridCol w:w="312"/>
      </w:tblGrid>
      <w:tr w:rsidR="00790508" w:rsidRPr="00790508" w14:paraId="38A5D2FA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4AF6AEC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Charakteristika predkladaného výstupu tvorivej činnosti / </w:t>
            </w:r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br/>
            </w:r>
            <w:proofErr w:type="spellStart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Characteristics</w:t>
            </w:r>
            <w:proofErr w:type="spellEnd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of </w:t>
            </w:r>
            <w:proofErr w:type="spellStart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the</w:t>
            </w:r>
            <w:proofErr w:type="spellEnd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</w:t>
            </w:r>
            <w:proofErr w:type="spellStart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submitted</w:t>
            </w:r>
            <w:proofErr w:type="spellEnd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</w:t>
            </w:r>
            <w:proofErr w:type="spellStart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research</w:t>
            </w:r>
            <w:proofErr w:type="spellEnd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/ </w:t>
            </w:r>
            <w:proofErr w:type="spellStart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artistic</w:t>
            </w:r>
            <w:proofErr w:type="spellEnd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/</w:t>
            </w:r>
            <w:proofErr w:type="spellStart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other</w:t>
            </w:r>
            <w:proofErr w:type="spellEnd"/>
            <w:r w:rsidRPr="004B49DF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output</w:t>
            </w:r>
          </w:p>
        </w:tc>
      </w:tr>
      <w:tr w:rsidR="00790508" w:rsidRPr="00790508" w14:paraId="209BE836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823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013B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76F7CF56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826C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54F6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0BF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E0EC0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3BAD06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9FE9F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509CE4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9D42FD1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985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948A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0F3AE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B2AE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9F92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7EBD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EE6F9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A455D52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60E7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A9557D3" w14:textId="77777777" w:rsidR="00B13ACE" w:rsidRPr="00790508" w:rsidRDefault="000000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E5711C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D517D6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01FA9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9D8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48F9114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2BD85CD" w14:textId="5BE12129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4B49D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</w:t>
            </w:r>
          </w:p>
        </w:tc>
        <w:tc>
          <w:tcPr>
            <w:tcW w:w="312" w:type="dxa"/>
            <w:vAlign w:val="center"/>
          </w:tcPr>
          <w:p w14:paraId="6BC30BF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B8D2C1D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B712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FFDE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CEEA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18D0F3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AD5BFB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20F6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76BFF6" w14:textId="37563EBF" w:rsidR="00B13ACE" w:rsidRPr="00AF2836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ŠUVADA</w:t>
            </w:r>
          </w:p>
        </w:tc>
        <w:tc>
          <w:tcPr>
            <w:tcW w:w="312" w:type="dxa"/>
            <w:vAlign w:val="center"/>
          </w:tcPr>
          <w:p w14:paraId="1EAF016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583A20B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52957A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157386" w14:textId="2E564CCA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Jozef</w:t>
            </w:r>
          </w:p>
        </w:tc>
        <w:tc>
          <w:tcPr>
            <w:tcW w:w="312" w:type="dxa"/>
            <w:vAlign w:val="center"/>
          </w:tcPr>
          <w:p w14:paraId="67FD8FD4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033731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5EC344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F1934" w14:textId="44C16268" w:rsidR="00B13ACE" w:rsidRPr="008B68D7" w:rsidRDefault="000A17C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MUDr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., PhD., </w:t>
            </w:r>
            <w:proofErr w:type="spellStart"/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e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MBA</w:t>
            </w:r>
            <w:proofErr w:type="spellEnd"/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,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MPH</w:t>
            </w:r>
          </w:p>
        </w:tc>
        <w:tc>
          <w:tcPr>
            <w:tcW w:w="312" w:type="dxa"/>
            <w:vAlign w:val="center"/>
          </w:tcPr>
          <w:p w14:paraId="7F96D8A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13B6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69449D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7A37DE" w14:textId="4A6CD4B0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https://www.portalvs.sk/regzam/detail/12451</w:t>
            </w:r>
          </w:p>
        </w:tc>
        <w:tc>
          <w:tcPr>
            <w:tcW w:w="312" w:type="dxa"/>
            <w:vAlign w:val="center"/>
          </w:tcPr>
          <w:p w14:paraId="2BBE0AC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8BC2011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41C674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EF76B0" w14:textId="77777777" w:rsidR="00DC28EF" w:rsidRDefault="00DC28EF" w:rsidP="00DC28EF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0C66FB4E" w14:textId="42A8F9E1" w:rsidR="00B13ACE" w:rsidRPr="008B68D7" w:rsidRDefault="00DC28EF" w:rsidP="00DC28EF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65C3846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987B74E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426F72F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E572BB" w14:textId="77777777" w:rsidR="00B13ACE" w:rsidRPr="00A51A0C" w:rsidRDefault="003B49FC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A51A0C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7FE97187" w14:textId="2E52729D" w:rsidR="00B13ACE" w:rsidRPr="00C6062D" w:rsidRDefault="00FE0F09" w:rsidP="00FE0F09">
            <w:pPr>
              <w:shd w:val="clear" w:color="auto" w:fill="FFFFFF"/>
              <w:spacing w:before="270" w:after="135" w:line="240" w:lineRule="auto"/>
              <w:ind w:right="38"/>
              <w:jc w:val="both"/>
              <w:outlineLvl w:val="2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 w:rsidRPr="00FE0F09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Šuvada</w:t>
            </w:r>
            <w:proofErr w:type="spellEnd"/>
            <w:r w:rsidRPr="00FE0F09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, Jozef et al. 2020. Post</w:t>
            </w:r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-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traumatic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Stress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Syndrome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(PSS) in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Child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Victims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War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, and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their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Consequences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in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the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Ten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Year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Experience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in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Lebanon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and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the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Autonomous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Region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Kurdistan</w:t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Miklošková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Monika [Autor, 11.112%]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Vanderberghe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Martina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Jozef [Autor, 11.111%] ; Al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Trad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Topoľská, Alexandra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Ulman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Przemyslaw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Kolibáb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Martin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Dotsenko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Jelizaveva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[Autor, 11.111%] ; Haj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Ulman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, Zuzana [Autor, 11.111%]. – WOS CC</w:t>
            </w:r>
            <w:r w:rsidRPr="00EC397D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. – ISSN 2222-386X. – ISSN (online) 2076-9741. – Roč. 11, č. 1 (2020), s. 25-27 </w:t>
            </w:r>
          </w:p>
        </w:tc>
        <w:tc>
          <w:tcPr>
            <w:tcW w:w="312" w:type="dxa"/>
            <w:vAlign w:val="center"/>
          </w:tcPr>
          <w:p w14:paraId="39B540E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48B55DE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6901FEC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592DA" w14:textId="00FD4B6A" w:rsidR="00B13ACE" w:rsidRPr="002C0FA0" w:rsidRDefault="00FE0F09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2020</w:t>
            </w:r>
          </w:p>
        </w:tc>
        <w:tc>
          <w:tcPr>
            <w:tcW w:w="312" w:type="dxa"/>
            <w:vAlign w:val="center"/>
          </w:tcPr>
          <w:p w14:paraId="367F812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E555AB9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69FA2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910C8" w14:textId="2166F9C0" w:rsidR="00B13ACE" w:rsidRPr="00AF2836" w:rsidRDefault="00FE0F09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228173</w:t>
            </w:r>
          </w:p>
        </w:tc>
        <w:tc>
          <w:tcPr>
            <w:tcW w:w="312" w:type="dxa"/>
            <w:vAlign w:val="center"/>
          </w:tcPr>
          <w:p w14:paraId="2DB5B10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0A95C6E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86246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2E676C" w14:textId="3080466C" w:rsidR="00A51A0C" w:rsidRPr="008B68D7" w:rsidRDefault="00FE0F09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https://app.crepc.sk/?fn=detailBiblioFormChildE1MJO&amp;sid=C976F6E2D9A9DCA7625BC13838&amp;seo=CREP%C4%8C-detail-%C4%8Cl%C3%A1nok</w:t>
            </w:r>
          </w:p>
        </w:tc>
        <w:tc>
          <w:tcPr>
            <w:tcW w:w="312" w:type="dxa"/>
            <w:vAlign w:val="center"/>
          </w:tcPr>
          <w:p w14:paraId="034246F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3371F5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C4BB49E" w14:textId="77777777" w:rsidR="00B13ACE" w:rsidRPr="00790508" w:rsidRDefault="003B49FC" w:rsidP="00BE754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5CD4E9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60BB5F" w14:textId="77777777" w:rsidR="00B13ACE" w:rsidRPr="008B68D7" w:rsidRDefault="00B13ACE" w:rsidP="00BE7542">
            <w:pPr>
              <w:spacing w:after="0" w:line="240" w:lineRule="auto"/>
              <w:ind w:left="160" w:hangingChars="100" w:hanging="16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01055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53FE3C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B328A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C8EA66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3C30B" w14:textId="1C157BF3" w:rsidR="00B13ACE" w:rsidRPr="008B68D7" w:rsidRDefault="00FE0F09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 w:rsidRPr="00FE0F09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Šuvada</w:t>
            </w:r>
            <w:proofErr w:type="spellEnd"/>
            <w:r w:rsidRPr="00FE0F09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, Jozef et al. 2020. Post</w:t>
            </w:r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-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traumatic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Stress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Syndrome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(PSS) in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Child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Victims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War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, and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their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Consequences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in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the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Ten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Year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Experience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in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Lebanon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and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the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Autonomous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Region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Kurdistan</w:t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Miklošková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Monika [Autor, 11.112%]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Vanderberghe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Martina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Jozef [Autor, 11.111%] ; Al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Trad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Topoľská, Alexandra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Ulman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Przemyslaw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Kolibáb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Martin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Dotsenko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Jelizaveva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[Autor, 11.111%] ; Haj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Ulman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, Zuzana [Autor, 11.111%]. – WOS CC</w:t>
            </w:r>
            <w:r w:rsidRPr="00EC397D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. – ISSN 2222-386X. – ISSN (online) 2076-9741. – Roč. 11, č. 1 (2020), s. 25-27 </w:t>
            </w:r>
          </w:p>
        </w:tc>
        <w:tc>
          <w:tcPr>
            <w:tcW w:w="312" w:type="dxa"/>
            <w:vAlign w:val="center"/>
          </w:tcPr>
          <w:p w14:paraId="0AAE6B3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B1120B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D3B2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E354E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E21C6" w14:textId="20EB24C2" w:rsidR="00B13ACE" w:rsidRPr="008B68D7" w:rsidRDefault="00FE0F09" w:rsidP="00BE7542">
            <w:pPr>
              <w:pStyle w:val="Textpoznmkypodiarou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Príspevok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Article</w:t>
            </w:r>
            <w:proofErr w:type="spellEnd"/>
          </w:p>
          <w:p w14:paraId="10A297AD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48A18D2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E817851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E1A05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090C8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337C26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42EB27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FA5B69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1834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46426A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EAD82" w14:textId="16AF2527" w:rsidR="00B13ACE" w:rsidRPr="008B68D7" w:rsidRDefault="00BB20BE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Šuvada</w:t>
            </w:r>
            <w:proofErr w:type="spellEnd"/>
            <w:r w:rsidR="00C6062D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r w:rsidR="00FE0F0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11</w:t>
            </w:r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%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/ 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FE0F0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11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3A031544" w14:textId="77777777" w:rsidR="00B13ACE" w:rsidRPr="00BB20BE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3539EA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BBAB5C7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1B6D0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1F4A7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7794B5" w14:textId="5E2F46AB" w:rsidR="00B30EC9" w:rsidRPr="008B68D7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Podiel autora je v spracovaní : </w:t>
            </w:r>
            <w:proofErr w:type="spellStart"/>
            <w:r w:rsid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postraumatický</w:t>
            </w:r>
            <w:proofErr w:type="spellEnd"/>
            <w:r w:rsid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šok, deti ako klient sociálnej práce, </w:t>
            </w:r>
            <w:proofErr w:type="spellStart"/>
            <w:r w:rsid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viktimizácia</w:t>
            </w:r>
            <w:proofErr w:type="spellEnd"/>
            <w:r w:rsid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konsekvencie</w:t>
            </w:r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metódy soci</w:t>
            </w:r>
            <w:r w:rsidR="008C08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á</w:t>
            </w:r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lnej práce</w:t>
            </w:r>
            <w:r w:rsidR="008B68D7"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/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processing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: post-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traumatic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shock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children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clients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victimization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consequences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methods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FE0F09" w:rsidRP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  <w:p w14:paraId="4290E4C8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BA59E6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A2A22AE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4DC5D66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7DE30" w14:textId="16ED488E" w:rsidR="00B13ACE" w:rsidRPr="00FE0F09" w:rsidRDefault="00FE0F09" w:rsidP="00BE7542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FE0F09">
              <w:rPr>
                <w:rFonts w:asciiTheme="majorHAnsi" w:hAnsiTheme="majorHAnsi" w:cstheme="majorHAnsi"/>
                <w:sz w:val="16"/>
                <w:szCs w:val="16"/>
                <w:lang w:val="en-US" w:eastAsia="en-GB" w:bidi="he-IL"/>
              </w:rPr>
              <w:t>The article offers answers to the following questions: post-traumatic shock, children as clients of social work, victimization, consequences, methods of social work.</w:t>
            </w:r>
          </w:p>
        </w:tc>
        <w:tc>
          <w:tcPr>
            <w:tcW w:w="312" w:type="dxa"/>
            <w:vAlign w:val="center"/>
          </w:tcPr>
          <w:p w14:paraId="3413798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80CAA3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8169F7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341272" w14:textId="61312ADA" w:rsidR="003D2F13" w:rsidRPr="002C0FA0" w:rsidRDefault="003D2F13" w:rsidP="00F67FD2">
            <w:pPr>
              <w:pStyle w:val="Odsekzoznamu"/>
              <w:tabs>
                <w:tab w:val="left" w:pos="196"/>
              </w:tabs>
              <w:autoSpaceDE w:val="0"/>
              <w:autoSpaceDN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8B4507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839F589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FEAB962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5603E" w14:textId="350E2A47" w:rsidR="00B13ACE" w:rsidRDefault="00F67FD2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Cieľom príspevku je sprehľadniť aktuálnu problematiku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posttraumatického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šoku,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viktimizácie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, konsekvencií a metód sociálnej práce s 10.ročnými klientmi v Libanone. Príspevok má teoreticko-aplikačný, informatívno-prehľadový charakter.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0353C4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aim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contribution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clarify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issue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of post-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traumatic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shock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victimization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consequences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methods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10-year-old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clients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Lebanon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has a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theoretical-application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informative-overview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character</w:t>
            </w:r>
            <w:proofErr w:type="spellEnd"/>
            <w:r w:rsidRPr="00F67FD2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F3024E0" w14:textId="77777777" w:rsidR="00CF2329" w:rsidRDefault="00CF2329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599EACF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Významným dopadom výstupu je zvýšenie odbornosti a praktického výkonu sociálnej práce, z administratívneho byrokratického rámca k intenzívnej a efektívnej práci s klientom pri rešpektovaní základných východísk a postulátov v danej oblasti skúmania sociálnej práce s prepojením na pozitívny hospodársky a sociálny dopad sociálnej práce si rozvoji ľudského kapitálu, sociálneho kapitálu.  Výstup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prispieva k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zvýš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eniu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informovanosti nielen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vedeckej obce, ale aj laickej i odbornej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komunity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študentov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ej problematike, trendoch alebo nových poznatkoch v oblasti spoločenskej alebo hospodárskej praxe.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expertise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performance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administrative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bureaucratic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intensive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while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respecting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basic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principles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connection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contributes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awareness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new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5CD2018E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F92962C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podnecuje viaceré objekty vedeckej, odbornej i laickej verejnosti a študentov smerom k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diskusie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 cieľom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hlbšiemu porozumeniu problému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hľadaniu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možný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riešen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í. 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ôže ovplyvniť názory a postoje ľudí k určitým spoločenským alebo hospodárskym otázkam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podnietiť zmenu postoja 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vedeckej, odbornej i laickej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politikov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 aj študentov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voči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skúmanej problematike. Výstup 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456BCA"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objects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possible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solutions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people's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opinions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certain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politicians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investigated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relations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between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global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achievement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2030 Agenda.</w:t>
            </w:r>
          </w:p>
          <w:p w14:paraId="35982446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34DAAFA" w14:textId="5BD3C7E7" w:rsidR="00C70CC6" w:rsidRPr="00C70CC6" w:rsidRDefault="00C70CC6" w:rsidP="00BE7542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Závery bádania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 vo vedeckej  monograf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ii/zborníku/príspevku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tendenciách, turbulenciách spoločenského života, ako aj výzvach postmodernej doby v rôznych oblastiach spoločenského života. /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conclusions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tendencies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turbulences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challenges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postmodern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era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65A50EE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4C74637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8D4A09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467EDF" w14:textId="0AA994AF" w:rsidR="003D2F13" w:rsidRDefault="006F67AD" w:rsidP="00C70CC6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Príspevok má sprehľadniť a demonštrovať aktuálnu problematiku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posttraumatického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šoku,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viktimizácie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, konsekvencií a metód sociálnej práce s 10.ročnými klientmi v Libanone. Príspevok má teoreticko-aplikačný, informatívno-prehľadový charakter. </w:t>
            </w:r>
            <w:r w:rsidR="008B68D7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aims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clarify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demonstrate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issue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of post-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traumatic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shock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victimization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consequences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methods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10-year-old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clients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Lebanon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has a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theoretical-application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informative-overview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character</w:t>
            </w:r>
            <w:proofErr w:type="spellEnd"/>
            <w:r w:rsidRPr="006F67AD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270DF00F" w14:textId="77777777" w:rsidR="006F67AD" w:rsidRDefault="006F67AD" w:rsidP="00C70CC6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B903F44" w14:textId="77777777" w:rsidR="00C70CC6" w:rsidRPr="00456BCA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Vo vzdelávacom procese táto  štúdia koreluje s  viacerými predmetmi, ako je teória sociálnej práce, základy sociálnej práce, metódy sociálnej práce,  komunitná sociálna práce, sociálna práca v zdravotníctve,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či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sociálna politika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/ 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correlates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policy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59607DDA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017B4C63" w14:textId="77777777" w:rsidR="00C70CC6" w:rsidRPr="00456BCA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je určená pre vedeckú, ale i odbornú verejnosť, ktorá sa danou problematikou zaoberá. 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poskytuje relevantné informácie, ktoré pojednávajú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o demografických zmenách a trendoch, ktoré prináša spoločný európsky priestor. 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intended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deals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relevant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discusses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demographic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changes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brought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space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6B2F409C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657FBC72" w14:textId="644BE2B4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Výstup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slúž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ako vzdelávac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í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zdroj pre verejnosť,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vedeckých pracovníkov,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odborníkov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laickú komunitu,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 aj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študentov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 skvalitňovaní študijného programu a je priamo prepojený na predmet sociálne služby, teória a metódy sociálnej práce a iné voliteľné predmety pre prípravu budúcich sociálnych pracovníkov, je cenným zdrojom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program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directly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connected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future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valuable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.</w:t>
            </w:r>
          </w:p>
          <w:p w14:paraId="715DF6C3" w14:textId="77777777" w:rsidR="00C70CC6" w:rsidRPr="008B68D7" w:rsidRDefault="00C70CC6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CD0793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0BDD82E7" w14:textId="77777777" w:rsidR="00B13ACE" w:rsidRPr="00790508" w:rsidRDefault="00B13ACE" w:rsidP="00BE7542">
      <w:pPr>
        <w:spacing w:line="240" w:lineRule="auto"/>
        <w:rPr>
          <w:rFonts w:asciiTheme="majorHAnsi" w:hAnsiTheme="majorHAnsi" w:cstheme="majorHAnsi"/>
        </w:rPr>
      </w:pPr>
    </w:p>
    <w:sectPr w:rsidR="00B13ACE" w:rsidRPr="00790508" w:rsidSect="009F06D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D72E" w14:textId="77777777" w:rsidR="009F06D5" w:rsidRDefault="009F06D5">
      <w:pPr>
        <w:spacing w:line="240" w:lineRule="auto"/>
      </w:pPr>
      <w:r>
        <w:separator/>
      </w:r>
    </w:p>
  </w:endnote>
  <w:endnote w:type="continuationSeparator" w:id="0">
    <w:p w14:paraId="5C4A58F7" w14:textId="77777777" w:rsidR="009F06D5" w:rsidRDefault="009F06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0E272" w14:textId="77777777" w:rsidR="009F06D5" w:rsidRDefault="009F06D5">
      <w:pPr>
        <w:spacing w:after="0"/>
      </w:pPr>
      <w:r>
        <w:separator/>
      </w:r>
    </w:p>
  </w:footnote>
  <w:footnote w:type="continuationSeparator" w:id="0">
    <w:p w14:paraId="122CBC7E" w14:textId="77777777" w:rsidR="009F06D5" w:rsidRDefault="009F06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D75B67"/>
    <w:multiLevelType w:val="hybridMultilevel"/>
    <w:tmpl w:val="7640FA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3C53"/>
    <w:multiLevelType w:val="hybridMultilevel"/>
    <w:tmpl w:val="FA205A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6760C"/>
    <w:multiLevelType w:val="hybridMultilevel"/>
    <w:tmpl w:val="E3C48552"/>
    <w:lvl w:ilvl="0" w:tplc="9E34AA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647E2"/>
    <w:multiLevelType w:val="hybridMultilevel"/>
    <w:tmpl w:val="F23EC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253253">
    <w:abstractNumId w:val="0"/>
  </w:num>
  <w:num w:numId="2" w16cid:durableId="324549340">
    <w:abstractNumId w:val="5"/>
  </w:num>
  <w:num w:numId="3" w16cid:durableId="1516729784">
    <w:abstractNumId w:val="4"/>
  </w:num>
  <w:num w:numId="4" w16cid:durableId="1194029426">
    <w:abstractNumId w:val="2"/>
  </w:num>
  <w:num w:numId="5" w16cid:durableId="1275792359">
    <w:abstractNumId w:val="3"/>
  </w:num>
  <w:num w:numId="6" w16cid:durableId="83866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A17C0"/>
    <w:rsid w:val="00145306"/>
    <w:rsid w:val="00190A9C"/>
    <w:rsid w:val="00211BB7"/>
    <w:rsid w:val="00246FA5"/>
    <w:rsid w:val="00261B31"/>
    <w:rsid w:val="002C0FA0"/>
    <w:rsid w:val="003B49FC"/>
    <w:rsid w:val="003D2F13"/>
    <w:rsid w:val="00430955"/>
    <w:rsid w:val="004B49DF"/>
    <w:rsid w:val="004C0ADE"/>
    <w:rsid w:val="006F67AD"/>
    <w:rsid w:val="007170EB"/>
    <w:rsid w:val="0073261A"/>
    <w:rsid w:val="0075266F"/>
    <w:rsid w:val="00790508"/>
    <w:rsid w:val="00885E7D"/>
    <w:rsid w:val="008B68D7"/>
    <w:rsid w:val="008C08AF"/>
    <w:rsid w:val="008F2F52"/>
    <w:rsid w:val="009F06D5"/>
    <w:rsid w:val="00A51A0C"/>
    <w:rsid w:val="00A6295E"/>
    <w:rsid w:val="00AE2ECB"/>
    <w:rsid w:val="00AF2836"/>
    <w:rsid w:val="00B13ACE"/>
    <w:rsid w:val="00B30EC9"/>
    <w:rsid w:val="00B660E1"/>
    <w:rsid w:val="00BB20BE"/>
    <w:rsid w:val="00BE7542"/>
    <w:rsid w:val="00C6062D"/>
    <w:rsid w:val="00C70CC6"/>
    <w:rsid w:val="00CF2329"/>
    <w:rsid w:val="00D22A85"/>
    <w:rsid w:val="00DC28EF"/>
    <w:rsid w:val="00F67FD2"/>
    <w:rsid w:val="00FE0F0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CB717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70CC6"/>
    <w:rPr>
      <w:rFonts w:ascii="Courier New" w:eastAsia="Times New Roman" w:hAnsi="Courier New" w:cs="Courier New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51A0C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A51A0C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2C0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1770</Words>
  <Characters>10680</Characters>
  <Application>Microsoft Office Word</Application>
  <DocSecurity>0</DocSecurity>
  <Lines>288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suvada</cp:lastModifiedBy>
  <cp:revision>2</cp:revision>
  <cp:lastPrinted>2024-04-10T10:36:00Z</cp:lastPrinted>
  <dcterms:created xsi:type="dcterms:W3CDTF">2024-04-10T10:37:00Z</dcterms:created>
  <dcterms:modified xsi:type="dcterms:W3CDTF">2024-04-10T10:37:00Z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  <property fmtid="{D5CDD505-2E9C-101B-9397-08002B2CF9AE}" pid="4" name="GrammarlyDocumentId">
    <vt:lpwstr>c7f8431c259556bae39ee7e1e1041035d75061f3f3a1ca1454ebd3e11b3155fb</vt:lpwstr>
  </property>
</Properties>
</file>